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58DF" w14:textId="77777777" w:rsidR="00FF6B15" w:rsidRDefault="00FF6B15" w:rsidP="00FF6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polski, 5a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528"/>
      </w:tblGrid>
      <w:tr w:rsidR="00FF6B15" w14:paraId="21DEE1E3" w14:textId="77777777" w:rsidTr="00D55B75">
        <w:trPr>
          <w:trHeight w:val="141"/>
        </w:trPr>
        <w:tc>
          <w:tcPr>
            <w:tcW w:w="1560" w:type="dxa"/>
          </w:tcPr>
          <w:p w14:paraId="13092D58" w14:textId="77777777" w:rsidR="00FF6B15" w:rsidRPr="00DA0DB9" w:rsidRDefault="00FF6B15" w:rsidP="00D55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Dzień/</w:t>
            </w:r>
            <w:r w:rsidRPr="00DA0DB9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552" w:type="dxa"/>
          </w:tcPr>
          <w:p w14:paraId="621D43A3" w14:textId="77777777" w:rsidR="00FF6B15" w:rsidRPr="00DA0DB9" w:rsidRDefault="00FF6B15" w:rsidP="00D5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Temat </w:t>
            </w:r>
            <w:r>
              <w:rPr>
                <w:rFonts w:ascii="Times New Roman" w:hAnsi="Times New Roman" w:cs="Times New Roman"/>
                <w:b/>
              </w:rPr>
              <w:t>dnia</w:t>
            </w:r>
          </w:p>
        </w:tc>
        <w:tc>
          <w:tcPr>
            <w:tcW w:w="5528" w:type="dxa"/>
          </w:tcPr>
          <w:p w14:paraId="17B8A6AC" w14:textId="77777777" w:rsidR="00FF6B15" w:rsidRPr="00DA0DB9" w:rsidRDefault="00FF6B15" w:rsidP="00D55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DB9">
              <w:rPr>
                <w:rFonts w:ascii="Times New Roman" w:hAnsi="Times New Roman" w:cs="Times New Roman"/>
                <w:b/>
              </w:rPr>
              <w:t xml:space="preserve">Materiały </w:t>
            </w:r>
            <w:r>
              <w:rPr>
                <w:rFonts w:ascii="Times New Roman" w:hAnsi="Times New Roman" w:cs="Times New Roman"/>
                <w:b/>
              </w:rPr>
              <w:t>do pracy</w:t>
            </w:r>
          </w:p>
        </w:tc>
      </w:tr>
      <w:tr w:rsidR="00FF6B15" w14:paraId="3EFCA655" w14:textId="77777777" w:rsidTr="00D55B75">
        <w:tc>
          <w:tcPr>
            <w:tcW w:w="1560" w:type="dxa"/>
          </w:tcPr>
          <w:p w14:paraId="7E8C8D4A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  <w:p w14:paraId="71154930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 r.</w:t>
            </w:r>
          </w:p>
        </w:tc>
        <w:tc>
          <w:tcPr>
            <w:tcW w:w="2552" w:type="dxa"/>
          </w:tcPr>
          <w:p w14:paraId="58A5B9A3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Świat przedstawiony w noweli „Janko Muzykant” H. Sienkiewicza.</w:t>
            </w:r>
          </w:p>
        </w:tc>
        <w:tc>
          <w:tcPr>
            <w:tcW w:w="5528" w:type="dxa"/>
          </w:tcPr>
          <w:p w14:paraId="68CF7E26" w14:textId="77777777" w:rsidR="00FF6B15" w:rsidRDefault="00FF6B15" w:rsidP="00F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Lektura pt. „Janko Muzykant”</w:t>
            </w:r>
            <w:r w:rsidR="00DE27A5">
              <w:rPr>
                <w:rFonts w:ascii="Times New Roman" w:hAnsi="Times New Roman" w:cs="Times New Roman"/>
              </w:rPr>
              <w:t xml:space="preserve"> – praca z tekstem.</w:t>
            </w:r>
          </w:p>
          <w:p w14:paraId="7B277322" w14:textId="77777777" w:rsidR="00FF6B15" w:rsidRDefault="00FF6B15" w:rsidP="00F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Przypominamy sobie pojęcie noweli.</w:t>
            </w:r>
          </w:p>
          <w:p w14:paraId="3378DECE" w14:textId="77777777" w:rsidR="00FF6B15" w:rsidRDefault="00FF6B15" w:rsidP="00F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poznają </w:t>
            </w:r>
            <w:r w:rsidR="00DE27A5">
              <w:rPr>
                <w:rFonts w:ascii="Times New Roman" w:hAnsi="Times New Roman" w:cs="Times New Roman"/>
              </w:rPr>
              <w:t xml:space="preserve">biografię autora tekstu oraz </w:t>
            </w:r>
            <w:r>
              <w:rPr>
                <w:rFonts w:ascii="Times New Roman" w:hAnsi="Times New Roman" w:cs="Times New Roman"/>
              </w:rPr>
              <w:t xml:space="preserve">elementy </w:t>
            </w:r>
            <w:r w:rsidR="00DE27A5">
              <w:rPr>
                <w:rFonts w:ascii="Times New Roman" w:hAnsi="Times New Roman" w:cs="Times New Roman"/>
              </w:rPr>
              <w:t>świata przedstawionego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F085DA0" w14:textId="77777777" w:rsidR="00DE27A5" w:rsidRDefault="00DE27A5" w:rsidP="00F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porządkują plan wydarzeń.</w:t>
            </w:r>
          </w:p>
        </w:tc>
      </w:tr>
      <w:tr w:rsidR="00FF6B15" w14:paraId="140F3894" w14:textId="77777777" w:rsidTr="00D55B75">
        <w:tc>
          <w:tcPr>
            <w:tcW w:w="1560" w:type="dxa"/>
          </w:tcPr>
          <w:p w14:paraId="7D85D13C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  <w:p w14:paraId="11B8DA25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 r.-</w:t>
            </w:r>
          </w:p>
          <w:p w14:paraId="7B956DEB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wychowawcza</w:t>
            </w:r>
          </w:p>
        </w:tc>
        <w:tc>
          <w:tcPr>
            <w:tcW w:w="2552" w:type="dxa"/>
          </w:tcPr>
          <w:p w14:paraId="2EA6BE38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T: </w:t>
            </w:r>
            <w:r w:rsidR="00DE27A5">
              <w:rPr>
                <w:rFonts w:ascii="Times New Roman" w:hAnsi="Times New Roman" w:cs="Times New Roman"/>
              </w:rPr>
              <w:t>Pozytywne i negatywne skutki powszechnego dostępu do mediów.</w:t>
            </w:r>
          </w:p>
        </w:tc>
        <w:tc>
          <w:tcPr>
            <w:tcW w:w="5528" w:type="dxa"/>
          </w:tcPr>
          <w:p w14:paraId="4DDC28E9" w14:textId="77777777" w:rsidR="00DE27A5" w:rsidRDefault="00FF6B15" w:rsidP="00DE2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Rozmawiamy o </w:t>
            </w:r>
            <w:r w:rsidR="00DE27A5">
              <w:rPr>
                <w:rFonts w:ascii="Times New Roman" w:hAnsi="Times New Roman" w:cs="Times New Roman"/>
              </w:rPr>
              <w:t xml:space="preserve">pozytywnych i negatywnych skutkach </w:t>
            </w:r>
            <w:r w:rsidR="00F622E1">
              <w:rPr>
                <w:rFonts w:ascii="Times New Roman" w:hAnsi="Times New Roman" w:cs="Times New Roman"/>
              </w:rPr>
              <w:t>powszechnego dostępu do mediów, o zagrożeniach, jakie płyną z sieci, z radia, TV.</w:t>
            </w:r>
          </w:p>
          <w:p w14:paraId="121A3FD3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B15" w14:paraId="00598F94" w14:textId="77777777" w:rsidTr="00D55B75">
        <w:tc>
          <w:tcPr>
            <w:tcW w:w="1560" w:type="dxa"/>
          </w:tcPr>
          <w:p w14:paraId="26FA3EB7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  <w:p w14:paraId="6944A7C1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 r.</w:t>
            </w:r>
          </w:p>
        </w:tc>
        <w:tc>
          <w:tcPr>
            <w:tcW w:w="2552" w:type="dxa"/>
          </w:tcPr>
          <w:p w14:paraId="09E47693" w14:textId="77777777" w:rsidR="00FF6B15" w:rsidRDefault="00FF6B1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 Gdy muzyka w duszy gra – o tytułowym bohaterze noweli.</w:t>
            </w:r>
          </w:p>
        </w:tc>
        <w:tc>
          <w:tcPr>
            <w:tcW w:w="5528" w:type="dxa"/>
          </w:tcPr>
          <w:p w14:paraId="1CA5A89E" w14:textId="77777777" w:rsidR="00DE27A5" w:rsidRDefault="00DE27A5" w:rsidP="00D55B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Lektura pt. „Janko Muzykant” – praca z tekstem.</w:t>
            </w:r>
          </w:p>
          <w:p w14:paraId="1A426641" w14:textId="77777777" w:rsidR="00FF6B15" w:rsidRPr="00632343" w:rsidRDefault="00DE27A5" w:rsidP="00D55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Charakteryzujemy tytułowego bohatera.</w:t>
            </w:r>
            <w:r w:rsidR="00FF6B1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06E5CA94" w14:textId="77777777" w:rsidR="00804B18" w:rsidRDefault="00804B18"/>
    <w:sectPr w:rsidR="00804B18" w:rsidSect="0080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15"/>
    <w:rsid w:val="00624CCC"/>
    <w:rsid w:val="00804B18"/>
    <w:rsid w:val="00DE27A5"/>
    <w:rsid w:val="00F622E1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A08"/>
  <w15:docId w15:val="{D06F3B28-925E-41F8-BA49-7DB42115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2020-06-05T18:36:00Z</dcterms:created>
  <dcterms:modified xsi:type="dcterms:W3CDTF">2020-06-05T18:36:00Z</dcterms:modified>
</cp:coreProperties>
</file>